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894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Microsoft YaHei UI" w:hAnsi="Microsoft YaHei UI" w:eastAsia="Microsoft YaHei UI" w:cs="Microsoft YaHei UI"/>
          <w:i w:val="0"/>
          <w:iCs w:val="0"/>
          <w:caps w:val="0"/>
          <w:spacing w:val="8"/>
        </w:rPr>
      </w:pPr>
      <w:bookmarkStart w:id="0" w:name="_GoBack"/>
      <w:r>
        <w:rPr>
          <w:rFonts w:hint="eastAsia" w:ascii="方正小标宋简体" w:hAnsi="方正小标宋简体" w:eastAsia="方正小标宋简体" w:cs="方正小标宋简体"/>
          <w:b/>
          <w:bCs/>
          <w:i w:val="0"/>
          <w:iCs w:val="0"/>
          <w:caps w:val="0"/>
          <w:spacing w:val="8"/>
          <w:sz w:val="44"/>
          <w:szCs w:val="44"/>
          <w:bdr w:val="none" w:color="auto" w:sz="0" w:space="0"/>
          <w:shd w:val="clear" w:fill="FFFFFF"/>
        </w:rPr>
        <w:t>“五提升”进行时|息县人民检察院举办“干部学堂”第一期</w:t>
      </w:r>
    </w:p>
    <w:bookmarkEnd w:id="0"/>
    <w:p w14:paraId="224D6C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63D703C">
      <w:pPr>
        <w:keepNext w:val="0"/>
        <w:keepLines w:val="0"/>
        <w:widowControl/>
        <w:suppressLineNumbers w:val="0"/>
        <w:spacing w:before="0" w:beforeAutospacing="0" w:after="0" w:afterAutospacing="0"/>
        <w:ind w:left="0" w:right="0"/>
        <w:jc w:val="left"/>
      </w:pPr>
    </w:p>
    <w:p w14:paraId="4FFB15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11月14日上午，息县人民检察院组织举办“干部学堂”第一期，第二检察部主任于亚丽围绕《关于办理帮助信息网络犯罪活动等刑事案件有关问题的意见》作专题授课，院班子成员和全体干警参会。</w:t>
      </w:r>
    </w:p>
    <w:p w14:paraId="6DA51A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课上，于亚丽同志通过“主观'明知'认定情形的扩充、帮信罪'情节严重'情形的完善、宽严相济刑事政策细化、多措并举实现综合治理”这四方面对《意见》进行系统解读，并围绕“五提升”活动要求、结合我院办案实际，突出强调检察机关要坚持系统观念、法治思维，强化行政执法和刑事司法相衔接，加强与金融、电信、网信、教育行政、市场监管等有关部门协作，共同推动帮助信息网络犯罪活动等犯罪的综合治理。通过授课学习，干警们对帮助信息网络犯罪活动等犯罪的司法适用有了更为明确具体的定罪量刑标准和刑事政策指引方向。</w:t>
      </w:r>
    </w:p>
    <w:p w14:paraId="1D46C6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学以致用，砺剑铸盾。本期干部学堂如同一场“及时雨”，为干警们依法精准打击帮信犯罪注入了专业动能。让我们以学促干、以干践行，将学习成果转化为履职尽责的“利剑”和“盾牌”，共同筑牢群众身边的“防火墙”，切实守护好人民群众的财产安全。</w:t>
      </w:r>
    </w:p>
    <w:p w14:paraId="4EB53E0A">
      <w:pPr>
        <w:rPr>
          <w:rFonts w:hint="eastAsia" w:ascii="仿宋_GB2312" w:hAnsi="仿宋_GB2312" w:eastAsia="仿宋_GB2312" w:cs="仿宋_GB2312"/>
          <w:sz w:val="32"/>
          <w:szCs w:val="32"/>
        </w:rPr>
      </w:pPr>
    </w:p>
    <w:p w14:paraId="6823B08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Lucida Bright">
    <w:panose1 w:val="02040602050505020304"/>
    <w:charset w:val="00"/>
    <w:family w:val="auto"/>
    <w:pitch w:val="default"/>
    <w:sig w:usb0="00000003" w:usb1="00000000" w:usb2="00000000" w:usb3="00000000" w:csb0="20000001" w:csb1="00000000"/>
  </w:font>
  <w:font w:name="方正公文黑体">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8026B"/>
    <w:rsid w:val="10116269"/>
    <w:rsid w:val="26BD0A9C"/>
    <w:rsid w:val="4EC00544"/>
    <w:rsid w:val="64F80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8</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2026-01-04T08:03:00Z</dcterms:created>
  <dc:creator>顾青瓷</dc:creator>
  <cp:lastModifiedBy>顾青瓷</cp:lastModifiedBy>
  <dcterms:modified xsi:type="dcterms:W3CDTF">2026-01-04T08:24:31Z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906F49F485004E92B1C268827EED29EB_13</vt:lpwstr>
  </property>
  <property fmtid="{D5CDD505-2E9C-101B-9397-08002B2CF9AE}" pid="4" name="KSOTemplateDocerSaveRecord">
    <vt:lpwstr>eyJoZGlkIjoiODRkNjM1YzQzNTQ2MWM2ODM5ZjI0MjBkNDRmNDVhZTgiLCJ1c2VySWQiOiIxMDI1ODMzMDcyIn0=</vt:lpwstr>
  </property>
</Properties>
</file>