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擎旗奋进勇争先 实干笃行谱新篇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</w:rPr>
        <w:t>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息县检察院召开贯彻全市检察长会议精神工作推进会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7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  <w:t>3月18日下午，息县人民检察院召开党组（扩大）会议学习贯彻全市检察长会议精神，会议由院党组书记、检察长黎小帅主持，院班子成员和部门负责人参加会议。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7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  <w:t>会议强调，要坚持从政治上着眼、从法治上着力，全面贯彻落实刘英旭检察长在全市检察长会上的讲话精神，明确本年度任务要求，结合本院实际情况统筹规划本年度具体工作，确保沿着正确方向开展工作，推动实践、细化落实，持续提升工作质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</w:rPr>
        <w:t>会议要求：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  <w:t>一、增强工作责任心。业务数据的生命和价值是真实，案管部门和各业务部门要形成数据治理合力，对各条线关键业务数据进行综合研判和衡量，分析各项指标间的内在逻辑和关联，紧盯数据变化，从根源上杜绝数据错填错报，及时调整工作重点和举措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  <w:t>二、增强时间紧迫感。对照最高检、省院、市院部署要求，抢抓典型案例培育、品牌立项工作关键时间节点，提前谋划，提前布局。在日常办案中注重积累和沉淀，反复推敲案例的闪光点，找准符合上级院要求的“菜单服务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  <w:t>三、树立争先意识。真正将“高质效办好每一个案件”作为基本价值追求指导业务办案，以提升办案质效为导向，树立“品牌强案”思维，抓实典型案例培育，努力让各项检察业务走在前、争先进。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7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8"/>
          <w:sz w:val="32"/>
          <w:szCs w:val="32"/>
          <w:lang w:eastAsia="zh-CN"/>
        </w:rPr>
        <w:t>四、强化队伍管理、案件管理。坚持全面从严管党治检，始终把加强党的政治建设摆在首位。以“管人”为基础，坚持将“管案”与“管人”相统一，持续推进系统高效的检察管理新格局。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NjM1YzQzNTQ2MWM2ODM5ZjI0MjBkNDRmNDVhZTgifQ=="/>
  </w:docVars>
  <w:rsids>
    <w:rsidRoot w:val="00000000"/>
    <w:rsid w:val="18B54882"/>
    <w:rsid w:val="369A7720"/>
    <w:rsid w:val="5448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2024-05-06T02:10:00Z</dcterms:created>
  <dc:creator>Administrator</dc:creator>
  <cp:lastModifiedBy>lenovo</cp:lastModifiedBy>
  <dcterms:modified xsi:type="dcterms:W3CDTF">2024-05-06T03:10:39Z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34459293335040E6B1DC792EAD270EE2_13</vt:lpwstr>
  </property>
</Properties>
</file>