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243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息县人民检察院召开数字检察工作推进会</w:t>
      </w:r>
      <w:bookmarkEnd w:id="0"/>
    </w:p>
    <w:p w14:paraId="198F92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深入贯彻落实上级院关于数字检察模型应用业务竞赛的工作要求，积极推进数字检察工作，2025年9月2日上午，息县人民检察院召开数字检察工作推进会。院党组书记、检察长黎小帅主持会议并讲话，各业务部门分管领导、部门负责人及数字检察工作专班全体成员参加会议。</w:t>
      </w:r>
    </w:p>
    <w:p w14:paraId="73271C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会上通报了近期我院的数字检察模型应用情况，各业务部门围绕本部门模型应用成效、应用场景及监督点覆盖情况、存在问题及下一步工作计划作了专题汇报，与会业务骨干结合办案实践进行了交流研讨。</w:t>
      </w:r>
    </w:p>
    <w:p w14:paraId="168333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会议要求，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一是深化思想认识，提高政治站位。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数字检察工作是推动检察工作现代化、提升法律监督质效的重要手段。全体干警一定要进一步提高认识，深刻理解数字赋能对检察工作的深远影响。在日常办案中要学会运用数字思维，善于利用大数据法律监督模型发现线索，提高办案质效。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spacing w:val="18"/>
          <w:sz w:val="32"/>
          <w:szCs w:val="32"/>
          <w:bdr w:val="none" w:color="auto" w:sz="0" w:space="0"/>
          <w:shd w:val="clear" w:fill="FFFFFF"/>
        </w:rPr>
        <w:t>二是熟悉应用场景和监督点，认真学习相关模型。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18"/>
          <w:sz w:val="32"/>
          <w:szCs w:val="32"/>
          <w:bdr w:val="none" w:color="auto" w:sz="0" w:space="0"/>
          <w:shd w:val="clear" w:fill="FFFFFF"/>
        </w:rPr>
        <w:t>各业务部门要熟知自己部门涉及的应用场景和监督点，针对应用场景和监督点模型，组织本部门干警认真学习，熟悉模型的研判规则，更好的应用相关模型。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spacing w:val="18"/>
          <w:sz w:val="32"/>
          <w:szCs w:val="32"/>
          <w:bdr w:val="none" w:color="auto" w:sz="0" w:space="0"/>
          <w:shd w:val="clear" w:fill="FFFFFF"/>
        </w:rPr>
        <w:t>三是围绕竞赛规则开展工作，抓住工作重点。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18"/>
          <w:sz w:val="32"/>
          <w:szCs w:val="32"/>
          <w:bdr w:val="none" w:color="auto" w:sz="0" w:space="0"/>
          <w:shd w:val="clear" w:fill="FFFFFF"/>
        </w:rPr>
        <w:t>各业务部门要吃透竞赛规则，抓住得分关键点，重点突击补齐短板，做到能得应得尽得。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spacing w:val="18"/>
          <w:sz w:val="32"/>
          <w:szCs w:val="32"/>
          <w:bdr w:val="none" w:color="auto" w:sz="0" w:space="0"/>
          <w:shd w:val="clear" w:fill="FFFFFF"/>
        </w:rPr>
        <w:t>四是规范应用，提高模型应用质效。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18"/>
          <w:sz w:val="32"/>
          <w:szCs w:val="32"/>
          <w:bdr w:val="none" w:color="auto" w:sz="0" w:space="0"/>
          <w:shd w:val="clear" w:fill="FFFFFF"/>
        </w:rPr>
        <w:t>在模型应用上，各业务部门要规范使用，避免由于操作不规范而不能认定为有效应用情况。在案件办理上要注意规范办理，打造高质效案件，注意打造典型案例。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spacing w:val="18"/>
          <w:sz w:val="32"/>
          <w:szCs w:val="32"/>
          <w:bdr w:val="none" w:color="auto" w:sz="0" w:space="0"/>
          <w:shd w:val="clear" w:fill="FFFFFF"/>
        </w:rPr>
        <w:t>五是加强沟通协调，原则性和灵活性相结合。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18"/>
          <w:sz w:val="32"/>
          <w:szCs w:val="32"/>
          <w:bdr w:val="none" w:color="auto" w:sz="0" w:space="0"/>
          <w:shd w:val="clear" w:fill="FFFFFF"/>
        </w:rPr>
        <w:t>加强与被监督单位沟通协调，积极调取相关数据，同时为后续监督工作做好对接。在模型应用监督过程中既要把握不能违规办案的原则，也要在学会灵活应用各类模型。</w:t>
      </w:r>
    </w:p>
    <w:p w14:paraId="52620B7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903078"/>
    <w:rsid w:val="067B1F30"/>
    <w:rsid w:val="1A903078"/>
    <w:rsid w:val="799C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2025-10-27T08:54:00Z</dcterms:created>
  <dc:creator>顾青瓷</dc:creator>
  <cp:lastModifiedBy>顾青瓷</cp:lastModifiedBy>
  <dcterms:modified xsi:type="dcterms:W3CDTF">2025-10-27T09:08:53Z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0A09496713F84AE5851CBAED50E6BAE7_13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